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5250"/>
        </w:tabs>
        <w:spacing w:before="16"/>
        <w:ind w:right="2846"/>
        <w:jc w:val="both"/>
        <w:rPr>
          <w:rFonts w:hint="eastAsia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附件1：</w:t>
      </w:r>
      <w:r>
        <w:rPr>
          <w:rFonts w:hint="eastAsia"/>
          <w:sz w:val="44"/>
          <w:szCs w:val="44"/>
          <w:lang w:val="en-US" w:eastAsia="zh-CN"/>
        </w:rPr>
        <w:t xml:space="preserve">          报价单</w:t>
      </w:r>
    </w:p>
    <w:tbl>
      <w:tblPr>
        <w:tblStyle w:val="5"/>
        <w:tblW w:w="931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679"/>
        <w:gridCol w:w="1210"/>
        <w:gridCol w:w="1885"/>
        <w:gridCol w:w="763"/>
        <w:gridCol w:w="751"/>
        <w:gridCol w:w="763"/>
        <w:gridCol w:w="927"/>
        <w:gridCol w:w="939"/>
        <w:gridCol w:w="9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6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监测位置</w:t>
            </w:r>
          </w:p>
        </w:tc>
        <w:tc>
          <w:tcPr>
            <w:tcW w:w="18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监测指标</w:t>
            </w:r>
          </w:p>
        </w:tc>
        <w:tc>
          <w:tcPr>
            <w:tcW w:w="7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点位</w:t>
            </w:r>
          </w:p>
        </w:tc>
        <w:tc>
          <w:tcPr>
            <w:tcW w:w="7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天数</w:t>
            </w:r>
          </w:p>
        </w:tc>
        <w:tc>
          <w:tcPr>
            <w:tcW w:w="7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频次</w:t>
            </w:r>
          </w:p>
        </w:tc>
        <w:tc>
          <w:tcPr>
            <w:tcW w:w="9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次/年</w:t>
            </w:r>
          </w:p>
        </w:tc>
        <w:tc>
          <w:tcPr>
            <w:tcW w:w="9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9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废水</w:t>
            </w:r>
          </w:p>
        </w:tc>
        <w:tc>
          <w:tcPr>
            <w:tcW w:w="121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一期污水处理站在废水排放口（DW001)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五日生化需氧量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阴离子表面活性剂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氨氮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石油类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动植物油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挥发酚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总氰化物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粪类大肠菌群数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总余氯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志贺氏菌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沙门氏菌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二期污水处理站在废水排放口（DW003)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五日生化需氧量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阴离子表面活性剂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氨氮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石油类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动植物油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挥发酚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总氰化物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粪类大肠菌群数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总余氯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志贺氏菌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沙门氏菌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废气</w:t>
            </w:r>
          </w:p>
        </w:tc>
        <w:tc>
          <w:tcPr>
            <w:tcW w:w="121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有组织废气二期污水处理站在废气排放口（DW008)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臭气浓度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氨气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硫化氢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无组织废气一期污水处理站周界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甲烷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臭气浓度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氨气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硫化氢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无组织废气二期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污水处理站周界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甲烷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臭气浓度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氨气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硫化氢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40" w:afterAutospacing="0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烟囱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1号至7号锅炉废气排放口（DA001)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（DA002)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（DA003)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（DA004)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（DA005)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（DA006)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（DA007)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氮氧化物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颗粒物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二氧化硫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林格曼黑度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噪声</w:t>
            </w:r>
          </w:p>
        </w:tc>
        <w:tc>
          <w:tcPr>
            <w:tcW w:w="1210" w:type="dxa"/>
            <w:vMerge w:val="restart"/>
            <w:tcBorders>
              <w:top w:val="nil"/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厂界噪声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昼间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4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夜间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435" w:type="dxa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《全国排污许可证管理信息平台》信息公开项目季度、年度的填写及申报</w:t>
            </w: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备注：以上报价包含采样，人工，交通，药剂，仪器，编制报告、税收等一切费用。</w:t>
      </w:r>
    </w:p>
    <w:p>
      <w:pPr>
        <w:pStyle w:val="3"/>
        <w:tabs>
          <w:tab w:val="left" w:pos="5250"/>
        </w:tabs>
        <w:spacing w:before="16"/>
        <w:ind w:right="2846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tabs>
          <w:tab w:val="left" w:pos="5250"/>
        </w:tabs>
        <w:spacing w:before="16"/>
        <w:ind w:right="2846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tabs>
          <w:tab w:val="left" w:pos="5250"/>
        </w:tabs>
        <w:spacing w:before="16"/>
        <w:ind w:right="2846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tabs>
          <w:tab w:val="left" w:pos="5250"/>
        </w:tabs>
        <w:spacing w:before="16"/>
        <w:ind w:right="2846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tabs>
          <w:tab w:val="left" w:pos="5250"/>
        </w:tabs>
        <w:spacing w:before="16"/>
        <w:ind w:right="2846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tabs>
          <w:tab w:val="left" w:pos="5250"/>
        </w:tabs>
        <w:spacing w:before="16"/>
        <w:ind w:right="2846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tabs>
          <w:tab w:val="left" w:pos="5250"/>
        </w:tabs>
        <w:spacing w:before="16"/>
        <w:ind w:right="2846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tabs>
          <w:tab w:val="left" w:pos="5250"/>
        </w:tabs>
        <w:spacing w:before="16"/>
        <w:ind w:right="2846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pStyle w:val="3"/>
        <w:tabs>
          <w:tab w:val="left" w:pos="5250"/>
        </w:tabs>
        <w:spacing w:before="16"/>
        <w:ind w:right="2846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附件2：</w:t>
      </w:r>
    </w:p>
    <w:p>
      <w:pPr>
        <w:pStyle w:val="3"/>
        <w:tabs>
          <w:tab w:val="left" w:pos="5250"/>
        </w:tabs>
        <w:spacing w:before="16"/>
        <w:ind w:right="2846" w:firstLine="2640" w:firstLineChars="600"/>
        <w:jc w:val="center"/>
      </w:pPr>
      <w:r>
        <w:rPr>
          <w:sz w:val="44"/>
          <w:szCs w:val="44"/>
        </w:rPr>
        <w:t>评分细则</w:t>
      </w:r>
    </w:p>
    <w:tbl>
      <w:tblPr>
        <w:tblStyle w:val="5"/>
        <w:tblpPr w:leftFromText="180" w:rightFromText="180" w:vertAnchor="text" w:horzAnchor="page" w:tblpX="1477" w:tblpY="53"/>
        <w:tblOverlap w:val="never"/>
        <w:tblW w:w="957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7"/>
        <w:gridCol w:w="990"/>
        <w:gridCol w:w="6169"/>
        <w:gridCol w:w="11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227" w:type="dxa"/>
            <w:noWrap/>
          </w:tcPr>
          <w:p>
            <w:pPr>
              <w:pStyle w:val="10"/>
              <w:autoSpaceDE w:val="0"/>
              <w:autoSpaceDN w:val="0"/>
              <w:spacing w:before="3" w:line="300" w:lineRule="exact"/>
              <w:ind w:lef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评分因素</w:t>
            </w:r>
          </w:p>
        </w:tc>
        <w:tc>
          <w:tcPr>
            <w:tcW w:w="990" w:type="dxa"/>
            <w:noWrap/>
          </w:tcPr>
          <w:p>
            <w:pPr>
              <w:pStyle w:val="10"/>
              <w:autoSpaceDE w:val="0"/>
              <w:autoSpaceDN w:val="0"/>
              <w:spacing w:before="3" w:line="300" w:lineRule="exact"/>
              <w:ind w:left="188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分值</w:t>
            </w:r>
          </w:p>
        </w:tc>
        <w:tc>
          <w:tcPr>
            <w:tcW w:w="6169" w:type="dxa"/>
            <w:noWrap/>
          </w:tcPr>
          <w:p>
            <w:pPr>
              <w:pStyle w:val="10"/>
              <w:autoSpaceDE w:val="0"/>
              <w:autoSpaceDN w:val="0"/>
              <w:spacing w:before="3" w:line="300" w:lineRule="exact"/>
              <w:ind w:left="2517" w:right="24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评分标准</w:t>
            </w:r>
          </w:p>
        </w:tc>
        <w:tc>
          <w:tcPr>
            <w:tcW w:w="1189" w:type="dxa"/>
            <w:noWrap/>
          </w:tcPr>
          <w:p>
            <w:pPr>
              <w:pStyle w:val="10"/>
              <w:autoSpaceDE w:val="0"/>
              <w:autoSpaceDN w:val="0"/>
              <w:spacing w:before="3" w:line="300" w:lineRule="exact"/>
              <w:ind w:left="4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1227" w:type="dxa"/>
            <w:noWrap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价格</w:t>
            </w:r>
          </w:p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（30%）</w:t>
            </w:r>
          </w:p>
        </w:tc>
        <w:tc>
          <w:tcPr>
            <w:tcW w:w="990" w:type="dxa"/>
            <w:noWrap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  <w:p>
            <w:pPr>
              <w:jc w:val="center"/>
              <w:rPr>
                <w:rFonts w:ascii="仿宋" w:hAnsi="仿宋" w:eastAsia="仿宋" w:cs="仿宋"/>
              </w:rPr>
            </w:pPr>
          </w:p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30分</w:t>
            </w:r>
          </w:p>
        </w:tc>
        <w:tc>
          <w:tcPr>
            <w:tcW w:w="6169" w:type="dxa"/>
            <w:noWrap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以本次有效投标的最低投标报价为基准价，其价格分为满分。其他投标人的价格分统一按照下列公式计算价格得分=（基准价/投标报价）×30。</w:t>
            </w:r>
          </w:p>
        </w:tc>
        <w:tc>
          <w:tcPr>
            <w:tcW w:w="1189" w:type="dxa"/>
            <w:noWrap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1227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履约能力20%</w:t>
            </w:r>
          </w:p>
        </w:tc>
        <w:tc>
          <w:tcPr>
            <w:tcW w:w="99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20分</w:t>
            </w:r>
          </w:p>
        </w:tc>
        <w:tc>
          <w:tcPr>
            <w:tcW w:w="6169" w:type="dxa"/>
            <w:noWrap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供应商提供类似项目业绩一个得5分，本项最高得20分。</w:t>
            </w:r>
          </w:p>
        </w:tc>
        <w:tc>
          <w:tcPr>
            <w:tcW w:w="1189" w:type="dxa"/>
            <w:noWrap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提供合同复印件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或</w:t>
            </w:r>
            <w:r>
              <w:rPr>
                <w:rFonts w:hint="eastAsia" w:ascii="仿宋" w:hAnsi="仿宋" w:eastAsia="仿宋" w:cs="仿宋"/>
              </w:rPr>
              <w:t>验收单加盖供应商单位鲜章。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6" w:hRule="atLeast"/>
        </w:trPr>
        <w:tc>
          <w:tcPr>
            <w:tcW w:w="1227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服务方案（30%）</w:t>
            </w:r>
          </w:p>
        </w:tc>
        <w:tc>
          <w:tcPr>
            <w:tcW w:w="990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30分</w:t>
            </w:r>
          </w:p>
        </w:tc>
        <w:tc>
          <w:tcPr>
            <w:tcW w:w="6169" w:type="dxa"/>
            <w:noWrap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服务方案包含：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项目进度计划安排及进度保障措施；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采样方案（至少包含：现场勘察、选取代表性点位进行取样、样品运输、样品标识系统的建立、样品的接收和标识、样品的内部流转、样品的储存、样品的处置等）；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检测方案（至少包含：检测工作流程图、检测技术措施、检测时限、组织结构及职能、人员配备及任务分工等）；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结果报出制度（至少包含：数据的统计、数据的上传、汇总资料的编制、汇总资料的上报等相关制度）；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服务质量保障措施及管理运行机制等。前述各项内容描述清晰完整且完全符合本项目实际需求的得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0分，每有一项内容缺失或不符合本项目实际的扣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分，扣完为止。</w:t>
            </w:r>
          </w:p>
        </w:tc>
        <w:tc>
          <w:tcPr>
            <w:tcW w:w="1189" w:type="dxa"/>
            <w:noWrap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1227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实施保障20%</w:t>
            </w:r>
          </w:p>
        </w:tc>
        <w:tc>
          <w:tcPr>
            <w:tcW w:w="99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20分</w:t>
            </w:r>
          </w:p>
        </w:tc>
        <w:tc>
          <w:tcPr>
            <w:tcW w:w="6169" w:type="dxa"/>
            <w:noWrap/>
            <w:vAlign w:val="center"/>
          </w:tcPr>
          <w:p>
            <w:pPr>
              <w:numPr>
                <w:ilvl w:val="0"/>
                <w:numId w:val="1"/>
              </w:numPr>
              <w:spacing w:line="276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设备配置（10分）：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供应商拟投入本项目的设备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针对每项监测指标提供相应设备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  <w:t>）。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每具备一样设备得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分，本项最多得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分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不提供不得分。注:提供设施设备的清单、购置发票（租赁仪器提供租赁协议等相关证明材料）及检定/校准证书复印件并加盖供应商公章。</w:t>
            </w:r>
          </w:p>
          <w:p>
            <w:pPr>
              <w:numPr>
                <w:ilvl w:val="0"/>
                <w:numId w:val="0"/>
              </w:numPr>
              <w:spacing w:line="276" w:lineRule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2.人员配置（10分）：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供应商拟投入本项目的项目负责人具有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环境类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高级职称的得2分。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供应商拟投入本项目人员具有环境及相关专业中级及以上职称的，每具有一人得1分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本项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最多得10分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不提供不得分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注：以上人员不重复计分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提供相关证明材料（人员证书、在职证明、返聘人员需提供返聘证书）并加盖供应商公章。</w:t>
            </w:r>
          </w:p>
        </w:tc>
        <w:tc>
          <w:tcPr>
            <w:tcW w:w="1189" w:type="dxa"/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</w:p>
        </w:tc>
      </w:tr>
    </w:tbl>
    <w:p>
      <w:pPr>
        <w:spacing w:line="580" w:lineRule="exact"/>
        <w:jc w:val="left"/>
        <w:rPr>
          <w:rFonts w:hint="eastAsia" w:ascii="仿宋" w:hAnsi="仿宋" w:eastAsia="仿宋" w:cs="仿宋"/>
          <w:spacing w:val="15"/>
          <w:sz w:val="21"/>
          <w:szCs w:val="21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75C340"/>
    <w:multiLevelType w:val="singleLevel"/>
    <w:tmpl w:val="8675C34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mYzY2NjZmODFhMDkxY2JiOThkMTU3ZjUzNmIzZjEifQ=="/>
  </w:docVars>
  <w:rsids>
    <w:rsidRoot w:val="00D07C16"/>
    <w:rsid w:val="00A56AC8"/>
    <w:rsid w:val="00B27448"/>
    <w:rsid w:val="00D07C16"/>
    <w:rsid w:val="0BEB754E"/>
    <w:rsid w:val="13DE2317"/>
    <w:rsid w:val="1AB71323"/>
    <w:rsid w:val="1ABA76D6"/>
    <w:rsid w:val="23A77366"/>
    <w:rsid w:val="23CB5BA3"/>
    <w:rsid w:val="319831C9"/>
    <w:rsid w:val="36BD24FD"/>
    <w:rsid w:val="38684BAA"/>
    <w:rsid w:val="3E61490D"/>
    <w:rsid w:val="401D5FF5"/>
    <w:rsid w:val="4CAA173B"/>
    <w:rsid w:val="5046552D"/>
    <w:rsid w:val="5D264BEF"/>
    <w:rsid w:val="5D6D372E"/>
    <w:rsid w:val="5EF4044D"/>
    <w:rsid w:val="634F5140"/>
    <w:rsid w:val="65143260"/>
    <w:rsid w:val="67EC2537"/>
    <w:rsid w:val="6B92663B"/>
    <w:rsid w:val="6FF409AF"/>
    <w:rsid w:val="7E4E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unhideWhenUsed/>
    <w:qFormat/>
    <w:uiPriority w:val="0"/>
    <w:pPr>
      <w:jc w:val="left"/>
    </w:pPr>
    <w:rPr>
      <w:rFonts w:cs="Times New Roman"/>
      <w:lang w:val="zh-CN" w:eastAsia="zh-CN"/>
    </w:rPr>
  </w:style>
  <w:style w:type="paragraph" w:styleId="3">
    <w:name w:val="Body Text"/>
    <w:basedOn w:val="1"/>
    <w:next w:val="1"/>
    <w:autoRedefine/>
    <w:qFormat/>
    <w:uiPriority w:val="0"/>
    <w:pPr>
      <w:spacing w:after="120"/>
    </w:p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customStyle="1" w:styleId="8">
    <w:name w:val="font31"/>
    <w:basedOn w:val="6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9">
    <w:name w:val="font61"/>
    <w:basedOn w:val="6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  <w:vertAlign w:val="subscript"/>
    </w:rPr>
  </w:style>
  <w:style w:type="paragraph" w:customStyle="1" w:styleId="10">
    <w:name w:val="Table Paragraph"/>
    <w:basedOn w:val="1"/>
    <w:autoRedefine/>
    <w:qFormat/>
    <w:uiPriority w:val="1"/>
    <w:rPr>
      <w:rFonts w:ascii="宋体" w:hAnsi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846</Words>
  <Characters>123</Characters>
  <Lines>1</Lines>
  <Paragraphs>1</Paragraphs>
  <TotalTime>11</TotalTime>
  <ScaleCrop>false</ScaleCrop>
  <LinksUpToDate>false</LinksUpToDate>
  <CharactersWithSpaces>968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</dc:creator>
  <cp:lastModifiedBy>Jensen</cp:lastModifiedBy>
  <cp:lastPrinted>2020-12-11T06:53:00Z</cp:lastPrinted>
  <dcterms:modified xsi:type="dcterms:W3CDTF">2024-01-10T06:24:42Z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FD7BAF107B8A4954BF06DBC3522D5B89_13</vt:lpwstr>
  </property>
</Properties>
</file>