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hint="eastAsia" w:ascii="华文仿宋" w:hAnsi="华文仿宋" w:eastAsia="华文仿宋" w:cs="华文仿宋"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333333"/>
          <w:sz w:val="28"/>
          <w:szCs w:val="28"/>
          <w:lang w:val="en-US" w:eastAsia="zh-CN"/>
        </w:rPr>
        <w:t>附件1: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555"/>
        <w:jc w:val="center"/>
        <w:rPr>
          <w:rFonts w:hint="default" w:ascii="华文仿宋" w:hAnsi="华文仿宋" w:eastAsia="华文仿宋" w:cs="华文仿宋"/>
          <w:color w:val="333333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color w:val="333333"/>
          <w:sz w:val="44"/>
          <w:szCs w:val="44"/>
          <w:lang w:val="en-US" w:eastAsia="zh-CN"/>
        </w:rPr>
        <w:t>采购内容清单</w:t>
      </w:r>
    </w:p>
    <w:tbl>
      <w:tblPr>
        <w:tblStyle w:val="4"/>
        <w:tblW w:w="9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98"/>
        <w:gridCol w:w="1316"/>
        <w:gridCol w:w="1238"/>
        <w:gridCol w:w="725"/>
        <w:gridCol w:w="1413"/>
        <w:gridCol w:w="1200"/>
        <w:gridCol w:w="120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包装规格及形态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二氧化氯消毒剂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水剂、25KG+2.5Kg组合装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一期污水处理站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固态晶状、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二期污水处理站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聚合氯化铝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固态粉状、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二期污水处理站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250KG/桶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二期污水处理站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80" w:lineRule="atLeast"/>
        <w:ind w:firstLine="555"/>
        <w:rPr>
          <w:rFonts w:hint="default" w:ascii="华文仿宋" w:hAnsi="华文仿宋" w:eastAsia="华文仿宋" w:cs="华文仿宋"/>
          <w:color w:val="333333"/>
          <w:sz w:val="28"/>
          <w:szCs w:val="28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备注：1.报价含运输、人工、税收等一切费用。2.年需求量是预估，每月按实际需求进行配送及结算。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 xml:space="preserve">附件2：             </w:t>
      </w:r>
      <w:r>
        <w:rPr>
          <w:rFonts w:hint="eastAsia"/>
          <w:sz w:val="44"/>
          <w:szCs w:val="44"/>
          <w:lang w:val="en-US" w:eastAsia="zh-CN"/>
        </w:rPr>
        <w:t>技术参数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一、二氧化氯消毒剂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包装规格及形态：水剂、25Kg+2.5Kg组合装；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主要指标：活化后二氧化氯≥2%；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其他指标：符合或高于国家标准GB/T 26366-2021 ； </w:t>
      </w:r>
    </w:p>
    <w:p>
      <w:pPr>
        <w:numPr>
          <w:ilvl w:val="0"/>
          <w:numId w:val="1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★提供产品符合指标要求的三方检测报告（实质性指标）；</w:t>
      </w:r>
    </w:p>
    <w:p>
      <w:pPr>
        <w:numPr>
          <w:ilvl w:val="0"/>
          <w:numId w:val="2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阴离子聚丙烯酰胺</w:t>
      </w:r>
    </w:p>
    <w:p>
      <w:pPr>
        <w:numPr>
          <w:ilvl w:val="0"/>
          <w:numId w:val="3"/>
        </w:numPr>
        <w:ind w:left="48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包装规格及形态：固态晶状、软包25Kg/袋；</w:t>
      </w:r>
    </w:p>
    <w:p>
      <w:pPr>
        <w:widowControl w:val="0"/>
        <w:numPr>
          <w:ilvl w:val="0"/>
          <w:numId w:val="3"/>
        </w:numPr>
        <w:ind w:left="48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主要指标：固含量≥88%，分子量≥1200万；</w:t>
      </w:r>
    </w:p>
    <w:p>
      <w:pPr>
        <w:widowControl w:val="0"/>
        <w:numPr>
          <w:ilvl w:val="0"/>
          <w:numId w:val="3"/>
        </w:numPr>
        <w:ind w:left="48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其他指标：符合或高于国家标准GB 17514-2017；  </w:t>
      </w:r>
    </w:p>
    <w:p>
      <w:pPr>
        <w:widowControl w:val="0"/>
        <w:numPr>
          <w:ilvl w:val="0"/>
          <w:numId w:val="3"/>
        </w:numPr>
        <w:ind w:left="48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★提供产品符合指标要求的三方检测报告（实质性指标）；</w:t>
      </w:r>
    </w:p>
    <w:p>
      <w:pPr>
        <w:widowControl w:val="0"/>
        <w:numPr>
          <w:ilvl w:val="0"/>
          <w:numId w:val="2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聚合氯化铝</w:t>
      </w:r>
    </w:p>
    <w:p>
      <w:pPr>
        <w:widowControl w:val="0"/>
        <w:numPr>
          <w:ilvl w:val="0"/>
          <w:numId w:val="4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包装规格及形态：固态粉状、软包25Kg/袋；</w:t>
      </w:r>
    </w:p>
    <w:p>
      <w:pPr>
        <w:widowControl w:val="0"/>
        <w:numPr>
          <w:ilvl w:val="0"/>
          <w:numId w:val="4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主要指标：氧化铝≥28%；</w:t>
      </w:r>
    </w:p>
    <w:p>
      <w:pPr>
        <w:widowControl w:val="0"/>
        <w:numPr>
          <w:ilvl w:val="0"/>
          <w:numId w:val="4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其他指标：符合或高于国家标准 GB/T22627-2022；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4.★提供产品符合指标要求的三方检测报告（实质性指标）；</w:t>
      </w:r>
    </w:p>
    <w:p>
      <w:pPr>
        <w:widowControl w:val="0"/>
        <w:numPr>
          <w:ilvl w:val="0"/>
          <w:numId w:val="2"/>
        </w:numPr>
        <w:ind w:left="560" w:leftChars="0" w:firstLine="0" w:firstLine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次氯酸钠</w:t>
      </w:r>
    </w:p>
    <w:p>
      <w:pPr>
        <w:widowControl w:val="0"/>
        <w:numPr>
          <w:ilvl w:val="0"/>
          <w:numId w:val="5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包装规格及形态：水剂、250Kg/桶；</w:t>
      </w:r>
    </w:p>
    <w:p>
      <w:pPr>
        <w:widowControl w:val="0"/>
        <w:numPr>
          <w:ilvl w:val="0"/>
          <w:numId w:val="5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主要指标：有效氯（以CL计）≥10%；</w:t>
      </w:r>
    </w:p>
    <w:p>
      <w:pPr>
        <w:widowControl w:val="0"/>
        <w:numPr>
          <w:ilvl w:val="0"/>
          <w:numId w:val="5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其他指标：符合或高于国家标准GB/T19106—2013；</w:t>
      </w:r>
    </w:p>
    <w:p>
      <w:pPr>
        <w:widowControl w:val="0"/>
        <w:numPr>
          <w:ilvl w:val="0"/>
          <w:numId w:val="5"/>
        </w:numPr>
        <w:ind w:left="560" w:leftChars="0"/>
        <w:jc w:val="both"/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★提供产品符合指标要求的三方检测报告（实质性指标）；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备注：以上带★4项指标作实质性响应，否则作无效投标处理。</w:t>
      </w:r>
    </w:p>
    <w:p>
      <w:pPr>
        <w:rPr>
          <w:rFonts w:hint="eastAsia" w:ascii="华文仿宋" w:hAnsi="华文仿宋" w:eastAsia="华文仿宋" w:cs="华文仿宋"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 xml:space="preserve">附件3：           </w:t>
      </w:r>
      <w:r>
        <w:rPr>
          <w:rFonts w:hint="eastAsia" w:ascii="华文仿宋" w:hAnsi="华文仿宋" w:eastAsia="华文仿宋" w:cs="华文仿宋"/>
          <w:sz w:val="44"/>
          <w:szCs w:val="44"/>
        </w:rPr>
        <w:t>评分细则</w:t>
      </w:r>
    </w:p>
    <w:tbl>
      <w:tblPr>
        <w:tblStyle w:val="4"/>
        <w:tblpPr w:leftFromText="180" w:rightFromText="180" w:vertAnchor="text" w:horzAnchor="page" w:tblpX="1207" w:tblpY="733"/>
        <w:tblOverlap w:val="never"/>
        <w:tblW w:w="989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982"/>
        <w:gridCol w:w="6117"/>
        <w:gridCol w:w="14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left="106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left="188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分值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价格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30分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履约能力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20%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供应商提供类似项目业绩一个得5分，本项最高得20分。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提供合同复印件或验收单加盖供应商单位鲜章。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技术参数</w:t>
            </w:r>
          </w:p>
          <w:p>
            <w:pPr>
              <w:widowControl/>
              <w:spacing w:line="480" w:lineRule="atLeast"/>
              <w:ind w:left="193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30分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本项目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★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一共12项（详见技术参数）；12项技术参数完全符合没有负偏离或优于的得30分，每有一项有负偏离的扣2.5分，直到扣完为止，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1"/>
                <w:szCs w:val="21"/>
              </w:rPr>
              <w:t>优于不另外加分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0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投标供应商需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1"/>
                <w:szCs w:val="21"/>
              </w:rPr>
              <w:t>提供产品技术参数响应表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后续保障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20%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120" w:leftChars="0" w:firstLine="42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根据供应商提供的方案（包括但不限于①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配送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方案；②质量保障措施；③验收方案；④售后服务响应措施）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方案内容全面、措施完善、针对性强的得20分，每缺少一项内容或有一项内容缺陷（内容缺陷指：存在项目名称错误、地点区域错误、内容与本项目需求无关、方案内容矛盾或表述前后不一致、仅有框架或标题、明显复制其他项目内容等任意一种情形）的，每缺少一项内容扣5分，每有一处缺陷扣2.5分，扣完为止。 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44897"/>
    <w:multiLevelType w:val="singleLevel"/>
    <w:tmpl w:val="EE9448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2F38DA"/>
    <w:multiLevelType w:val="singleLevel"/>
    <w:tmpl w:val="342F38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8D1912"/>
    <w:multiLevelType w:val="singleLevel"/>
    <w:tmpl w:val="4A8D191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4D3BC66A"/>
    <w:multiLevelType w:val="singleLevel"/>
    <w:tmpl w:val="4D3BC66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4">
    <w:nsid w:val="6FFB9EFD"/>
    <w:multiLevelType w:val="singleLevel"/>
    <w:tmpl w:val="6FFB9E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Y2NjZmODFhMDkxY2JiOThkMTU3ZjUzNmIzZjEifQ=="/>
  </w:docVars>
  <w:rsids>
    <w:rsidRoot w:val="00000000"/>
    <w:rsid w:val="09D50DBD"/>
    <w:rsid w:val="1EFD5B7A"/>
    <w:rsid w:val="29964803"/>
    <w:rsid w:val="2BA41E4E"/>
    <w:rsid w:val="2BCA0321"/>
    <w:rsid w:val="2C067CE3"/>
    <w:rsid w:val="32986CE1"/>
    <w:rsid w:val="46751185"/>
    <w:rsid w:val="4CEF47F5"/>
    <w:rsid w:val="587E1762"/>
    <w:rsid w:val="6CC94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2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41"/>
    <w:basedOn w:val="5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5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61"/>
    <w:basedOn w:val="5"/>
    <w:uiPriority w:val="0"/>
    <w:rPr>
      <w:rFonts w:ascii="宋体" w:hAnsi="宋体" w:eastAsia="宋体" w:cs="宋体"/>
      <w:color w:val="001E95"/>
      <w:sz w:val="18"/>
      <w:szCs w:val="18"/>
      <w:u w:val="none"/>
    </w:rPr>
  </w:style>
  <w:style w:type="character" w:customStyle="1" w:styleId="11">
    <w:name w:val="font71"/>
    <w:basedOn w:val="5"/>
    <w:uiPriority w:val="0"/>
    <w:rPr>
      <w:rFonts w:ascii="宋体" w:hAnsi="宋体" w:eastAsia="宋体" w:cs="宋体"/>
      <w:color w:val="B259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ascii="宋体" w:hAnsi="宋体" w:eastAsia="宋体" w:cs="宋体"/>
      <w:color w:val="001F86"/>
      <w:sz w:val="18"/>
      <w:szCs w:val="18"/>
      <w:u w:val="none"/>
    </w:rPr>
  </w:style>
  <w:style w:type="character" w:customStyle="1" w:styleId="13">
    <w:name w:val="font91"/>
    <w:basedOn w:val="5"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4">
    <w:name w:val="font101"/>
    <w:basedOn w:val="5"/>
    <w:uiPriority w:val="0"/>
    <w:rPr>
      <w:rFonts w:ascii="宋体" w:hAnsi="宋体" w:eastAsia="宋体" w:cs="宋体"/>
      <w:color w:val="860004"/>
      <w:sz w:val="18"/>
      <w:szCs w:val="18"/>
      <w:u w:val="none"/>
    </w:rPr>
  </w:style>
  <w:style w:type="character" w:customStyle="1" w:styleId="15">
    <w:name w:val="font112"/>
    <w:basedOn w:val="5"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6">
    <w:name w:val="font11"/>
    <w:basedOn w:val="5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21"/>
    <w:basedOn w:val="5"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8">
    <w:name w:val="font131"/>
    <w:basedOn w:val="5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9">
    <w:name w:val="font141"/>
    <w:basedOn w:val="5"/>
    <w:uiPriority w:val="0"/>
    <w:rPr>
      <w:rFonts w:ascii="宋体" w:hAnsi="宋体" w:eastAsia="宋体" w:cs="宋体"/>
      <w:color w:val="000000"/>
      <w:sz w:val="8"/>
      <w:szCs w:val="8"/>
      <w:u w:val="none"/>
    </w:rPr>
  </w:style>
  <w:style w:type="paragraph" w:customStyle="1" w:styleId="20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2024-03-06T08:51:18Z</dcterms:created>
  <dc:creator>Lenovo</dc:creator>
  <cp:lastModifiedBy>Jensen</cp:lastModifiedBy>
  <dcterms:modified xsi:type="dcterms:W3CDTF">2024-04-08T02:44:54Z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172C30D747C74E15AE1CD65825981FA6_13</vt:lpwstr>
  </property>
</Properties>
</file>